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8" w:type="dxa"/>
        <w:tblInd w:w="6" w:type="dxa"/>
        <w:tblLook w:val="04A0" w:firstRow="1" w:lastRow="0" w:firstColumn="1" w:lastColumn="0" w:noHBand="0" w:noVBand="1"/>
      </w:tblPr>
      <w:tblGrid>
        <w:gridCol w:w="4780"/>
        <w:gridCol w:w="4678"/>
      </w:tblGrid>
      <w:tr w:rsidR="00B42EDA" w14:paraId="2A0F6BCA" w14:textId="77777777" w:rsidTr="00B42EDA">
        <w:trPr>
          <w:trHeight w:val="183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32928212" w14:textId="77777777" w:rsidR="00B42EDA" w:rsidRDefault="00B42EDA">
            <w:pPr>
              <w:pStyle w:val="Heading2"/>
              <w:keepLines/>
              <w:tabs>
                <w:tab w:val="left" w:pos="4622"/>
                <w:tab w:val="left" w:pos="9243"/>
              </w:tabs>
              <w:spacing w:before="0" w:after="0"/>
              <w:outlineLvl w:val="1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  <w:u w:val="single"/>
              </w:rPr>
            </w:pPr>
          </w:p>
          <w:p w14:paraId="3994CDDF" w14:textId="3C0BA0DD" w:rsidR="00B42EDA" w:rsidRDefault="00B42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D57F1" wp14:editId="2CF487D4">
                  <wp:extent cx="1895475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ABBFB" w14:textId="1A2F475B" w:rsidR="00B42EDA" w:rsidRDefault="00B42EDA">
            <w:pPr>
              <w:pStyle w:val="Heading2"/>
              <w:keepLines/>
              <w:tabs>
                <w:tab w:val="left" w:pos="4622"/>
                <w:tab w:val="left" w:pos="9243"/>
              </w:tabs>
              <w:spacing w:before="0" w:after="0"/>
              <w:outlineLvl w:val="1"/>
              <w:rPr>
                <w:rFonts w:asciiTheme="minorHAnsi" w:hAnsiTheme="minorHAnsi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Cs w:val="0"/>
                <w:i w:val="0"/>
                <w:iCs w:val="0"/>
              </w:rPr>
              <w:t>Financial Regulations Statement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FA4919" w14:textId="77777777" w:rsidR="00B42EDA" w:rsidRDefault="00B42EDA">
            <w:pPr>
              <w:pStyle w:val="Heading2"/>
              <w:keepLines/>
              <w:tabs>
                <w:tab w:val="left" w:pos="4622"/>
                <w:tab w:val="left" w:pos="9243"/>
              </w:tabs>
              <w:spacing w:before="0" w:after="0"/>
              <w:jc w:val="center"/>
              <w:outlineLvl w:val="1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  <w:u w:val="single"/>
              </w:rPr>
            </w:pPr>
          </w:p>
          <w:p w14:paraId="08D337C6" w14:textId="0B53A995" w:rsidR="00B42EDA" w:rsidRDefault="00B42E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13B1A2" wp14:editId="67002336">
                  <wp:extent cx="857250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A656D" w14:textId="570B9D86" w:rsidR="00C14D01" w:rsidRDefault="00C14D01" w:rsidP="00C14D01">
      <w:pPr>
        <w:autoSpaceDE w:val="0"/>
        <w:autoSpaceDN w:val="0"/>
        <w:adjustRightInd w:val="0"/>
        <w:spacing w:before="0" w:after="0"/>
        <w:jc w:val="center"/>
        <w:rPr>
          <w:rFonts w:cs="TT508o00"/>
          <w:b/>
          <w:color w:val="000000"/>
        </w:rPr>
      </w:pPr>
    </w:p>
    <w:p w14:paraId="2061EE00" w14:textId="77777777" w:rsidR="00C14D01" w:rsidRDefault="00C14D01" w:rsidP="000A381B">
      <w:pPr>
        <w:autoSpaceDE w:val="0"/>
        <w:autoSpaceDN w:val="0"/>
        <w:adjustRightInd w:val="0"/>
        <w:spacing w:before="0" w:after="0"/>
        <w:rPr>
          <w:rFonts w:cs="TT508o00"/>
          <w:b/>
          <w:color w:val="000000"/>
        </w:rPr>
      </w:pPr>
    </w:p>
    <w:p w14:paraId="00B2D27E" w14:textId="77777777" w:rsidR="00EA45DC" w:rsidRPr="00EA45DC" w:rsidRDefault="00EA45DC" w:rsidP="000A381B">
      <w:pPr>
        <w:autoSpaceDE w:val="0"/>
        <w:autoSpaceDN w:val="0"/>
        <w:adjustRightInd w:val="0"/>
        <w:spacing w:before="0" w:after="0"/>
        <w:rPr>
          <w:rFonts w:cs="TT508o00"/>
          <w:b/>
          <w:color w:val="000000"/>
        </w:rPr>
      </w:pPr>
    </w:p>
    <w:p w14:paraId="6741DFEC" w14:textId="77777777" w:rsidR="000A381B" w:rsidRPr="00F24DE4" w:rsidRDefault="000A381B" w:rsidP="000A381B">
      <w:pPr>
        <w:autoSpaceDE w:val="0"/>
        <w:autoSpaceDN w:val="0"/>
        <w:adjustRightInd w:val="0"/>
        <w:spacing w:before="0" w:after="0"/>
        <w:rPr>
          <w:rFonts w:cs="TT505o00"/>
          <w:color w:val="000000"/>
        </w:rPr>
      </w:pPr>
      <w:r w:rsidRPr="00F24DE4">
        <w:rPr>
          <w:rFonts w:cs="TT505o00"/>
          <w:color w:val="000000"/>
        </w:rPr>
        <w:t>These financial regulation statement governs the conduct of the financial transactions of Knutsford Hosts and may only be amended or vari</w:t>
      </w:r>
      <w:r w:rsidR="00ED1834" w:rsidRPr="00F24DE4">
        <w:rPr>
          <w:rFonts w:cs="TT505o00"/>
          <w:color w:val="000000"/>
        </w:rPr>
        <w:t>ed by resolution of the Steering C</w:t>
      </w:r>
      <w:r w:rsidRPr="00F24DE4">
        <w:rPr>
          <w:rFonts w:cs="TT505o00"/>
          <w:color w:val="000000"/>
        </w:rPr>
        <w:t>ommittee.</w:t>
      </w:r>
    </w:p>
    <w:p w14:paraId="65384AC2" w14:textId="77777777" w:rsidR="000A381B" w:rsidRPr="00F24DE4" w:rsidRDefault="000A381B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</w:p>
    <w:p w14:paraId="3B98DA9B" w14:textId="77777777" w:rsidR="000A381B" w:rsidRPr="00F24DE4" w:rsidRDefault="000A381B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  <w:r w:rsidRPr="00F24DE4">
        <w:rPr>
          <w:rFonts w:cs="TT505o00"/>
        </w:rPr>
        <w:t>The Steering Committee shall be responsible for the proper administration of the Knutsford Hosts’ affairs and financial management information.</w:t>
      </w:r>
    </w:p>
    <w:p w14:paraId="720735E3" w14:textId="77777777" w:rsidR="000A381B" w:rsidRPr="00F24DE4" w:rsidRDefault="000A381B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</w:p>
    <w:p w14:paraId="19AB2D8B" w14:textId="77777777" w:rsidR="000A381B" w:rsidRPr="00F24DE4" w:rsidRDefault="000A381B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  <w:r w:rsidRPr="00F24DE4">
        <w:rPr>
          <w:rFonts w:cs="TT505o00"/>
        </w:rPr>
        <w:t>Knutsford Hosts is an unincorporated community association and has no plans for income generation</w:t>
      </w:r>
      <w:r w:rsidR="00ED1834" w:rsidRPr="00F24DE4">
        <w:rPr>
          <w:rFonts w:cs="TT505o00"/>
        </w:rPr>
        <w:t xml:space="preserve"> per se</w:t>
      </w:r>
      <w:r w:rsidRPr="00F24DE4">
        <w:rPr>
          <w:rFonts w:cs="TT505o00"/>
        </w:rPr>
        <w:t>. However, from time to time it may b</w:t>
      </w:r>
      <w:r w:rsidR="00ED1834" w:rsidRPr="00F24DE4">
        <w:rPr>
          <w:rFonts w:cs="TT505o00"/>
        </w:rPr>
        <w:t>e the recipient of sponsorship or grants and to that end has established a bank accou</w:t>
      </w:r>
      <w:r w:rsidR="00271F09">
        <w:rPr>
          <w:rFonts w:cs="TT505o00"/>
        </w:rPr>
        <w:t>nt with Barclays Bank, Knutsford</w:t>
      </w:r>
      <w:r w:rsidR="00ED1834" w:rsidRPr="00F24DE4">
        <w:rPr>
          <w:rFonts w:cs="TT505o00"/>
        </w:rPr>
        <w:t>.</w:t>
      </w:r>
    </w:p>
    <w:p w14:paraId="56FEEC82" w14:textId="77777777" w:rsidR="00ED1834" w:rsidRPr="00F24DE4" w:rsidRDefault="00ED1834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</w:p>
    <w:p w14:paraId="0CC42E37" w14:textId="77777777" w:rsidR="00ED1834" w:rsidRPr="00F24DE4" w:rsidRDefault="00ED1834" w:rsidP="00ED1834">
      <w:pPr>
        <w:autoSpaceDE w:val="0"/>
        <w:autoSpaceDN w:val="0"/>
        <w:adjustRightInd w:val="0"/>
        <w:spacing w:before="0" w:after="0"/>
        <w:rPr>
          <w:rFonts w:cs="TT505o00"/>
          <w:b/>
        </w:rPr>
      </w:pPr>
      <w:r w:rsidRPr="00F24DE4">
        <w:rPr>
          <w:rFonts w:cs="TT505o00"/>
          <w:b/>
        </w:rPr>
        <w:t>BUDGETARY CONTROL</w:t>
      </w:r>
    </w:p>
    <w:p w14:paraId="5D2DB88A" w14:textId="77777777" w:rsidR="00ED1834" w:rsidRPr="00F24DE4" w:rsidRDefault="00ED1834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  <w:r w:rsidRPr="00F24DE4">
        <w:rPr>
          <w:rFonts w:cs="TT505o00"/>
        </w:rPr>
        <w:t>No expenditure of funds in the Knutsford Hosts community account may be incurred without the approval of the steering committee.</w:t>
      </w:r>
    </w:p>
    <w:p w14:paraId="3E0D67B1" w14:textId="77777777" w:rsidR="00F24DE4" w:rsidRPr="00F24DE4" w:rsidRDefault="00F24DE4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</w:p>
    <w:p w14:paraId="234FB7CF" w14:textId="77777777" w:rsidR="00F24DE4" w:rsidRPr="00F24DE4" w:rsidRDefault="00F24DE4" w:rsidP="00F24DE4">
      <w:pPr>
        <w:spacing w:before="0" w:after="0"/>
        <w:rPr>
          <w:rFonts w:cs="TT505o00"/>
          <w:b/>
        </w:rPr>
      </w:pPr>
      <w:r w:rsidRPr="00F24DE4">
        <w:rPr>
          <w:rFonts w:cs="TT505o00"/>
          <w:b/>
        </w:rPr>
        <w:t>ACCOUNTING AND AUDIT</w:t>
      </w:r>
    </w:p>
    <w:p w14:paraId="444B571E" w14:textId="77777777" w:rsidR="000A381B" w:rsidRPr="00F24DE4" w:rsidRDefault="00ED1834" w:rsidP="00F24DE4">
      <w:pPr>
        <w:spacing w:before="0" w:after="0"/>
        <w:rPr>
          <w:rFonts w:cs="TT505o00"/>
        </w:rPr>
      </w:pPr>
      <w:r w:rsidRPr="00F24DE4">
        <w:rPr>
          <w:rFonts w:cs="TT505o00"/>
        </w:rPr>
        <w:t>Bank statements for Knutsford Hosts will be made available to anyone with a legitimate interest.</w:t>
      </w:r>
    </w:p>
    <w:p w14:paraId="1959E85A" w14:textId="77777777" w:rsidR="00F24DE4" w:rsidRPr="00F24DE4" w:rsidRDefault="00F24DE4" w:rsidP="00F24DE4">
      <w:pPr>
        <w:spacing w:before="0" w:after="0"/>
        <w:rPr>
          <w:rFonts w:cs="TT505o00"/>
          <w:b/>
        </w:rPr>
      </w:pPr>
    </w:p>
    <w:p w14:paraId="29337EFE" w14:textId="77777777" w:rsidR="000A381B" w:rsidRPr="00F24DE4" w:rsidRDefault="000A381B" w:rsidP="00F24DE4">
      <w:pPr>
        <w:spacing w:before="0" w:after="0"/>
        <w:rPr>
          <w:rFonts w:cs="TT509o00"/>
          <w:b/>
        </w:rPr>
      </w:pPr>
      <w:r w:rsidRPr="00F24DE4">
        <w:rPr>
          <w:rFonts w:cs="TT508o00"/>
          <w:b/>
        </w:rPr>
        <w:t>P</w:t>
      </w:r>
      <w:r w:rsidRPr="00F24DE4">
        <w:rPr>
          <w:rFonts w:cs="TT509o00"/>
          <w:b/>
        </w:rPr>
        <w:t>AYMENT OF</w:t>
      </w:r>
      <w:r w:rsidR="00ED1834" w:rsidRPr="00F24DE4">
        <w:rPr>
          <w:rFonts w:cs="TT509o00"/>
          <w:b/>
        </w:rPr>
        <w:t xml:space="preserve"> ACCOUNTS</w:t>
      </w:r>
    </w:p>
    <w:p w14:paraId="379B95E3" w14:textId="77777777" w:rsidR="00ED1834" w:rsidRPr="00F24DE4" w:rsidRDefault="000A381B" w:rsidP="00F24DE4">
      <w:pPr>
        <w:autoSpaceDE w:val="0"/>
        <w:autoSpaceDN w:val="0"/>
        <w:adjustRightInd w:val="0"/>
        <w:spacing w:before="0" w:after="0"/>
        <w:rPr>
          <w:rFonts w:cs="TT505o00"/>
        </w:rPr>
      </w:pPr>
      <w:r w:rsidRPr="00F24DE4">
        <w:rPr>
          <w:rFonts w:cs="TT505o00"/>
        </w:rPr>
        <w:t>All payments shall be effected by cheque or other order drawn</w:t>
      </w:r>
      <w:r w:rsidRPr="00F24DE4">
        <w:rPr>
          <w:rFonts w:cs="TT50Fo00"/>
        </w:rPr>
        <w:t xml:space="preserve"> </w:t>
      </w:r>
      <w:r w:rsidR="00ED1834" w:rsidRPr="00F24DE4">
        <w:rPr>
          <w:rFonts w:cs="TT505o00"/>
        </w:rPr>
        <w:t>on the Knutsford Hosts’ bankers.</w:t>
      </w:r>
    </w:p>
    <w:p w14:paraId="66D20778" w14:textId="77777777" w:rsidR="00F24DE4" w:rsidRDefault="00F24DE4" w:rsidP="00F24DE4">
      <w:pPr>
        <w:autoSpaceDE w:val="0"/>
        <w:autoSpaceDN w:val="0"/>
        <w:adjustRightInd w:val="0"/>
        <w:spacing w:before="0" w:after="0"/>
      </w:pPr>
    </w:p>
    <w:p w14:paraId="227576EA" w14:textId="77777777" w:rsidR="000A381B" w:rsidRPr="00F24DE4" w:rsidRDefault="000A381B" w:rsidP="00F24DE4">
      <w:pPr>
        <w:autoSpaceDE w:val="0"/>
        <w:autoSpaceDN w:val="0"/>
        <w:adjustRightInd w:val="0"/>
        <w:spacing w:before="0" w:after="0"/>
        <w:rPr>
          <w:rFonts w:cs="TT505o00"/>
          <w:b/>
        </w:rPr>
      </w:pPr>
      <w:r w:rsidRPr="00F24DE4">
        <w:rPr>
          <w:b/>
        </w:rPr>
        <w:t xml:space="preserve">ORDERS FOR </w:t>
      </w:r>
      <w:r w:rsidRPr="00F24DE4">
        <w:rPr>
          <w:rFonts w:cs="TT508o00"/>
          <w:b/>
        </w:rPr>
        <w:t>G</w:t>
      </w:r>
      <w:r w:rsidRPr="00F24DE4">
        <w:rPr>
          <w:rFonts w:cs="TT509o00"/>
          <w:b/>
        </w:rPr>
        <w:t xml:space="preserve">OODS AND </w:t>
      </w:r>
      <w:r w:rsidRPr="00F24DE4">
        <w:rPr>
          <w:rFonts w:cs="TT508o00"/>
          <w:b/>
        </w:rPr>
        <w:t>S</w:t>
      </w:r>
      <w:r w:rsidRPr="00F24DE4">
        <w:rPr>
          <w:rFonts w:cs="TT509o00"/>
          <w:b/>
        </w:rPr>
        <w:t>ERVICES</w:t>
      </w:r>
    </w:p>
    <w:p w14:paraId="0F5FAD34" w14:textId="77777777" w:rsidR="000A381B" w:rsidRPr="00F24DE4" w:rsidRDefault="000A381B" w:rsidP="00F24DE4">
      <w:pPr>
        <w:autoSpaceDE w:val="0"/>
        <w:autoSpaceDN w:val="0"/>
        <w:adjustRightInd w:val="0"/>
        <w:spacing w:before="0" w:after="0"/>
        <w:rPr>
          <w:rFonts w:cs="TT506o00"/>
        </w:rPr>
      </w:pPr>
      <w:r w:rsidRPr="00F24DE4">
        <w:rPr>
          <w:rFonts w:cs="TT505o00"/>
        </w:rPr>
        <w:t>An official order</w:t>
      </w:r>
      <w:r w:rsidRPr="00F24DE4">
        <w:rPr>
          <w:rFonts w:cs="TT50Fo00"/>
        </w:rPr>
        <w:t xml:space="preserve"> </w:t>
      </w:r>
      <w:r w:rsidRPr="00F24DE4">
        <w:rPr>
          <w:rFonts w:cs="TT505o00"/>
        </w:rPr>
        <w:t>shall be issued for all work, goods and</w:t>
      </w:r>
      <w:r w:rsidR="00F24DE4">
        <w:rPr>
          <w:rFonts w:cs="TT506o00"/>
        </w:rPr>
        <w:t xml:space="preserve"> </w:t>
      </w:r>
      <w:r w:rsidR="00ED1834" w:rsidRPr="00F24DE4">
        <w:rPr>
          <w:rFonts w:cs="TT505o00"/>
        </w:rPr>
        <w:t>services and c</w:t>
      </w:r>
      <w:r w:rsidRPr="00F24DE4">
        <w:rPr>
          <w:rFonts w:cs="TT505o00"/>
        </w:rPr>
        <w:t>opies of orders shall be retained.</w:t>
      </w:r>
    </w:p>
    <w:p w14:paraId="64844E39" w14:textId="77777777" w:rsidR="00ED1834" w:rsidRPr="00F24DE4" w:rsidRDefault="00ED1834" w:rsidP="000A381B">
      <w:pPr>
        <w:autoSpaceDE w:val="0"/>
        <w:autoSpaceDN w:val="0"/>
        <w:adjustRightInd w:val="0"/>
        <w:spacing w:before="0" w:after="0"/>
        <w:rPr>
          <w:rFonts w:cs="TT505o00"/>
        </w:rPr>
      </w:pPr>
      <w:r w:rsidRPr="00F24DE4">
        <w:rPr>
          <w:rFonts w:cs="TT505o00"/>
        </w:rPr>
        <w:t xml:space="preserve"> </w:t>
      </w:r>
    </w:p>
    <w:p w14:paraId="42B9D299" w14:textId="77777777" w:rsidR="000A381B" w:rsidRDefault="00ED1834" w:rsidP="00F24DE4">
      <w:pPr>
        <w:autoSpaceDE w:val="0"/>
        <w:autoSpaceDN w:val="0"/>
        <w:adjustRightInd w:val="0"/>
        <w:spacing w:before="0" w:after="0"/>
      </w:pPr>
      <w:r w:rsidRPr="00F24DE4">
        <w:rPr>
          <w:rFonts w:cs="TT505o00"/>
        </w:rPr>
        <w:t xml:space="preserve">Where appropriate, quotes and tenders will be </w:t>
      </w:r>
      <w:r w:rsidR="000A381B" w:rsidRPr="00F24DE4">
        <w:rPr>
          <w:rFonts w:cs="TT505o00"/>
        </w:rPr>
        <w:t xml:space="preserve">sought </w:t>
      </w:r>
      <w:r w:rsidRPr="00F24DE4">
        <w:rPr>
          <w:rFonts w:cs="TT505o00"/>
        </w:rPr>
        <w:t>from a range of local suppliers</w:t>
      </w:r>
      <w:r w:rsidR="00F24DE4">
        <w:rPr>
          <w:rFonts w:cs="TT505o00"/>
        </w:rPr>
        <w:t xml:space="preserve"> as Knutsford Hosts </w:t>
      </w:r>
      <w:r w:rsidR="000A381B">
        <w:t>wishes to promote the local economy and where possible maximize the</w:t>
      </w:r>
      <w:r w:rsidR="00F24DE4">
        <w:rPr>
          <w:rFonts w:cs="TT505o00"/>
        </w:rPr>
        <w:t xml:space="preserve"> </w:t>
      </w:r>
      <w:r w:rsidR="000A381B">
        <w:t>amount of money it s</w:t>
      </w:r>
      <w:r w:rsidR="00F24DE4">
        <w:t xml:space="preserve">pends locally, subject to best value for money </w:t>
      </w:r>
      <w:r w:rsidR="000A381B">
        <w:t xml:space="preserve">being achieved. </w:t>
      </w:r>
    </w:p>
    <w:p w14:paraId="6DD11504" w14:textId="77777777" w:rsidR="00E553B8" w:rsidRDefault="00E553B8" w:rsidP="00F24DE4">
      <w:pPr>
        <w:autoSpaceDE w:val="0"/>
        <w:autoSpaceDN w:val="0"/>
        <w:adjustRightInd w:val="0"/>
        <w:spacing w:before="0" w:after="0"/>
      </w:pPr>
    </w:p>
    <w:p w14:paraId="092027B4" w14:textId="77777777" w:rsidR="00E553B8" w:rsidRDefault="00E553B8" w:rsidP="00F24DE4">
      <w:pPr>
        <w:autoSpaceDE w:val="0"/>
        <w:autoSpaceDN w:val="0"/>
        <w:adjustRightInd w:val="0"/>
        <w:spacing w:before="0" w:after="0"/>
      </w:pPr>
    </w:p>
    <w:p w14:paraId="319FD193" w14:textId="66D33311" w:rsidR="00E553B8" w:rsidRDefault="00271F09" w:rsidP="00F24DE4">
      <w:pPr>
        <w:autoSpaceDE w:val="0"/>
        <w:autoSpaceDN w:val="0"/>
        <w:adjustRightInd w:val="0"/>
        <w:spacing w:before="0" w:after="0"/>
      </w:pPr>
      <w:r>
        <w:t xml:space="preserve">Knutsford Hosts </w:t>
      </w:r>
      <w:r w:rsidR="009D168E">
        <w:t>August</w:t>
      </w:r>
      <w:bookmarkStart w:id="0" w:name="_GoBack"/>
      <w:bookmarkEnd w:id="0"/>
      <w:r w:rsidR="00E553B8">
        <w:t xml:space="preserve"> 201</w:t>
      </w:r>
      <w:r w:rsidR="00B42EDA">
        <w:t>9</w:t>
      </w:r>
    </w:p>
    <w:p w14:paraId="5B37BC2F" w14:textId="77777777" w:rsidR="00271F09" w:rsidRDefault="00271F09" w:rsidP="00F24DE4">
      <w:pPr>
        <w:autoSpaceDE w:val="0"/>
        <w:autoSpaceDN w:val="0"/>
        <w:adjustRightInd w:val="0"/>
        <w:spacing w:before="0" w:after="0"/>
      </w:pPr>
    </w:p>
    <w:p w14:paraId="043B315E" w14:textId="77777777" w:rsidR="00271F09" w:rsidRDefault="00271F09" w:rsidP="00F24DE4">
      <w:pPr>
        <w:autoSpaceDE w:val="0"/>
        <w:autoSpaceDN w:val="0"/>
        <w:adjustRightInd w:val="0"/>
        <w:spacing w:before="0" w:after="0"/>
      </w:pPr>
    </w:p>
    <w:p w14:paraId="6DE191E7" w14:textId="77777777" w:rsidR="00271F09" w:rsidRDefault="00271F09" w:rsidP="00F24DE4">
      <w:pPr>
        <w:autoSpaceDE w:val="0"/>
        <w:autoSpaceDN w:val="0"/>
        <w:adjustRightInd w:val="0"/>
        <w:spacing w:before="0" w:after="0"/>
      </w:pPr>
    </w:p>
    <w:p w14:paraId="01A731F3" w14:textId="77777777" w:rsidR="00271F09" w:rsidRDefault="00271F09" w:rsidP="00F24DE4">
      <w:pPr>
        <w:autoSpaceDE w:val="0"/>
        <w:autoSpaceDN w:val="0"/>
        <w:adjustRightInd w:val="0"/>
        <w:spacing w:before="0" w:after="0"/>
      </w:pPr>
    </w:p>
    <w:p w14:paraId="0633E177" w14:textId="77777777" w:rsidR="00271F09" w:rsidRDefault="00271F09" w:rsidP="00F24DE4">
      <w:pPr>
        <w:autoSpaceDE w:val="0"/>
        <w:autoSpaceDN w:val="0"/>
        <w:adjustRightInd w:val="0"/>
        <w:spacing w:before="0" w:after="0"/>
      </w:pPr>
    </w:p>
    <w:p w14:paraId="0F5D4FD3" w14:textId="77777777" w:rsidR="00271F09" w:rsidRDefault="00271F09" w:rsidP="00F24DE4">
      <w:pPr>
        <w:autoSpaceDE w:val="0"/>
        <w:autoSpaceDN w:val="0"/>
        <w:adjustRightInd w:val="0"/>
        <w:spacing w:before="0" w:after="0"/>
      </w:pPr>
    </w:p>
    <w:p w14:paraId="09CC1C78" w14:textId="77777777" w:rsidR="00271F09" w:rsidRDefault="00271F09" w:rsidP="00F24DE4">
      <w:pPr>
        <w:autoSpaceDE w:val="0"/>
        <w:autoSpaceDN w:val="0"/>
        <w:adjustRightInd w:val="0"/>
        <w:spacing w:before="0" w:after="0"/>
      </w:pPr>
    </w:p>
    <w:p w14:paraId="766CCE63" w14:textId="77777777" w:rsidR="00271F09" w:rsidRDefault="00271F09" w:rsidP="00F24DE4">
      <w:pPr>
        <w:autoSpaceDE w:val="0"/>
        <w:autoSpaceDN w:val="0"/>
        <w:adjustRightInd w:val="0"/>
        <w:spacing w:before="0" w:after="0"/>
      </w:pPr>
      <w:r>
        <w:t>© 2015. All rights reserved</w:t>
      </w:r>
    </w:p>
    <w:p w14:paraId="47369119" w14:textId="77777777" w:rsidR="000A381B" w:rsidRDefault="000A381B" w:rsidP="000A381B"/>
    <w:sectPr w:rsidR="000A381B" w:rsidSect="00297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50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0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0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0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0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81B"/>
    <w:rsid w:val="000A381B"/>
    <w:rsid w:val="002116F5"/>
    <w:rsid w:val="00271F09"/>
    <w:rsid w:val="00297544"/>
    <w:rsid w:val="002D7A87"/>
    <w:rsid w:val="003059CD"/>
    <w:rsid w:val="0042188E"/>
    <w:rsid w:val="00494A02"/>
    <w:rsid w:val="006E71BE"/>
    <w:rsid w:val="00924816"/>
    <w:rsid w:val="009D168E"/>
    <w:rsid w:val="00B05429"/>
    <w:rsid w:val="00B42EDA"/>
    <w:rsid w:val="00C14D01"/>
    <w:rsid w:val="00E553B8"/>
    <w:rsid w:val="00EA3001"/>
    <w:rsid w:val="00EA45DC"/>
    <w:rsid w:val="00ED1834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A501"/>
  <w15:chartTrackingRefBased/>
  <w15:docId w15:val="{2CAFDD35-B3DC-4B61-BDCA-617885E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13" w:after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4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42E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2EDA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B42EDA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Flannery</dc:creator>
  <cp:keywords/>
  <dc:description/>
  <cp:lastModifiedBy>Sarah Flannery</cp:lastModifiedBy>
  <cp:revision>3</cp:revision>
  <dcterms:created xsi:type="dcterms:W3CDTF">2019-08-22T16:24:00Z</dcterms:created>
  <dcterms:modified xsi:type="dcterms:W3CDTF">2019-08-22T17:06:00Z</dcterms:modified>
</cp:coreProperties>
</file>